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sz w:val="32"/>
          <w:szCs w:val="32"/>
          <w:highlight w:val="none"/>
          <w:lang w:val="en-US" w:eastAsia="zh-CN"/>
        </w:rPr>
      </w:pPr>
      <w:bookmarkStart w:id="0" w:name="_Toc226029491"/>
      <w:r>
        <w:rPr>
          <w:rFonts w:hint="eastAsia" w:ascii="黑体" w:hAnsi="黑体" w:eastAsia="黑体" w:cs="黑体"/>
          <w:sz w:val="32"/>
          <w:szCs w:val="32"/>
          <w:highlight w:val="none"/>
          <w:lang w:val="en-US" w:eastAsia="zh-CN"/>
        </w:rPr>
        <w:t>附件3</w:t>
      </w:r>
      <w:bookmarkStart w:id="4" w:name="_GoBack"/>
      <w:bookmarkEnd w:id="4"/>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仿宋_GB2312" w:eastAsia="方正小标宋简体" w:cs="仿宋_GB2312"/>
          <w:sz w:val="44"/>
          <w:szCs w:val="44"/>
          <w:highlight w:val="none"/>
        </w:rPr>
      </w:pPr>
      <w:r>
        <w:rPr>
          <w:rFonts w:hint="eastAsia" w:ascii="方正小标宋简体" w:hAnsi="仿宋_GB2312" w:eastAsia="方正小标宋简体" w:cs="仿宋_GB2312"/>
          <w:sz w:val="44"/>
          <w:szCs w:val="44"/>
          <w:highlight w:val="none"/>
        </w:rPr>
        <w:t>太行山西省实验室</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仿宋_GB2312" w:eastAsia="方正小标宋简体" w:cs="仿宋_GB2312"/>
          <w:sz w:val="44"/>
          <w:szCs w:val="44"/>
          <w:highlight w:val="none"/>
        </w:rPr>
      </w:pPr>
      <w:r>
        <w:rPr>
          <w:rFonts w:hint="eastAsia" w:ascii="方正小标宋简体" w:hAnsi="仿宋_GB2312" w:eastAsia="方正小标宋简体" w:cs="仿宋_GB2312"/>
          <w:sz w:val="44"/>
          <w:szCs w:val="44"/>
          <w:highlight w:val="none"/>
        </w:rPr>
        <w:t>2026年度专题研发类项目</w:t>
      </w:r>
      <w:bookmarkEnd w:id="0"/>
    </w:p>
    <w:p>
      <w:pPr>
        <w:rPr>
          <w:rFonts w:hint="eastAsia"/>
          <w:highlight w:val="none"/>
        </w:rPr>
      </w:pPr>
    </w:p>
    <w:p>
      <w:pPr>
        <w:pStyle w:val="2"/>
        <w:pageBreakBefore w:val="0"/>
        <w:kinsoku/>
        <w:wordWrap/>
        <w:overflowPunct/>
        <w:topLinePunct w:val="0"/>
        <w:autoSpaceDE/>
        <w:autoSpaceDN/>
        <w:bidi w:val="0"/>
        <w:adjustRightInd/>
        <w:snapToGrid/>
        <w:spacing w:line="558" w:lineRule="exact"/>
        <w:ind w:firstLine="643"/>
        <w:textAlignment w:val="auto"/>
        <w:rPr>
          <w:rFonts w:hint="eastAsia" w:ascii="黑体" w:hAnsi="黑体" w:eastAsia="黑体"/>
          <w:szCs w:val="32"/>
          <w:highlight w:val="none"/>
        </w:rPr>
      </w:pPr>
      <w:bookmarkStart w:id="1" w:name="_Toc226029492"/>
      <w:r>
        <w:rPr>
          <w:rFonts w:hint="eastAsia" w:ascii="黑体" w:hAnsi="黑体" w:eastAsia="黑体"/>
          <w:szCs w:val="32"/>
          <w:highlight w:val="none"/>
        </w:rPr>
        <w:t>专题一：基于多模态数据的异常行为检测</w:t>
      </w:r>
      <w:bookmarkEnd w:id="1"/>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当前，矿山等高危行业执法记录仪所采集的视频普遍存在时长过长（20</w:t>
      </w:r>
      <w:r>
        <w:rPr>
          <w:rFonts w:ascii="Courier New" w:hAnsi="Courier New" w:eastAsia="仿宋_GB2312" w:cs="Courier New"/>
          <w:sz w:val="32"/>
          <w:szCs w:val="32"/>
          <w:highlight w:val="none"/>
        </w:rPr>
        <w:t>–</w:t>
      </w:r>
      <w:r>
        <w:rPr>
          <w:rFonts w:hint="eastAsia" w:ascii="仿宋_GB2312" w:eastAsia="仿宋_GB2312"/>
          <w:sz w:val="32"/>
          <w:szCs w:val="32"/>
          <w:highlight w:val="none"/>
        </w:rPr>
        <w:t>60分钟）、冗余内容占比高、关键事件稀疏且具有延迟性因果特征等挑战。传统对违规行为的分析方法依赖人工回看或固定抽帧策略，不仅效率低下，更易丢失“违规操作→设备异常→安全风险”等跨时段传导线索；而直接将原始长视频输入大模型进行端到端处理，则面临Token溢出、显存爆炸与推理成本激增等现实瓶颈。本专题旨在将深度学习方法应用于执法视频分析，实现冗余内容精准过滤、关键事件高效抽取与违规行为因果推演，并通过算法创新有效突破硬件资源约束，推动执法模式从“事后回溯”向“事中预警、事前预防”的智能化转型。</w:t>
      </w:r>
    </w:p>
    <w:p>
      <w:pPr>
        <w:pStyle w:val="3"/>
        <w:pageBreakBefore w:val="0"/>
        <w:kinsoku/>
        <w:wordWrap/>
        <w:overflowPunct/>
        <w:topLinePunct w:val="0"/>
        <w:autoSpaceDE/>
        <w:autoSpaceDN/>
        <w:bidi w:val="0"/>
        <w:adjustRightInd/>
        <w:snapToGrid/>
        <w:spacing w:line="558" w:lineRule="exact"/>
        <w:ind w:firstLine="643"/>
        <w:textAlignment w:val="auto"/>
        <w:rPr>
          <w:rFonts w:hint="eastAsia" w:ascii="仿宋_GB2312"/>
          <w:highlight w:val="none"/>
        </w:rPr>
      </w:pPr>
      <w:r>
        <w:rPr>
          <w:rFonts w:hint="eastAsia" w:ascii="仿宋_GB2312"/>
          <w:highlight w:val="none"/>
        </w:rPr>
        <w:t>1、面向长时序视频的关键事件智能抽取与显存高效推理技术研究</w:t>
      </w:r>
    </w:p>
    <w:p>
      <w:pPr>
        <w:pageBreakBefore w:val="0"/>
        <w:kinsoku/>
        <w:wordWrap/>
        <w:overflowPunct/>
        <w:topLinePunct w:val="0"/>
        <w:autoSpaceDE/>
        <w:autoSpaceDN/>
        <w:bidi w:val="0"/>
        <w:adjustRightInd/>
        <w:snapToGrid/>
        <w:spacing w:line="558" w:lineRule="exact"/>
        <w:textAlignment w:val="auto"/>
        <w:rPr>
          <w:rFonts w:ascii="仿宋_GB2312" w:eastAsia="仿宋_GB2312"/>
          <w:sz w:val="32"/>
          <w:szCs w:val="32"/>
          <w:highlight w:val="none"/>
        </w:rPr>
      </w:pPr>
      <w:r>
        <w:rPr>
          <w:rFonts w:hint="eastAsia" w:ascii="仿宋_GB2312" w:eastAsia="仿宋_GB2312"/>
          <w:b/>
          <w:bCs/>
          <w:sz w:val="32"/>
          <w:szCs w:val="32"/>
          <w:highlight w:val="none"/>
        </w:rPr>
        <w:t>研究内容：</w:t>
      </w:r>
      <w:r>
        <w:rPr>
          <w:rFonts w:hint="eastAsia" w:ascii="仿宋_GB2312" w:eastAsia="仿宋_GB2312"/>
          <w:sz w:val="32"/>
          <w:szCs w:val="32"/>
          <w:highlight w:val="none"/>
        </w:rPr>
        <w:t>本研究旨在利用深度学习技术破解长时序执法视频分析中的效率与精度矛盾，提升执法监督的智能化水平与风险预警能力。通过融合时序语义感知、关键帧预筛选、显存优化推理与因果逻辑建模等关键技术，致力于开发一套轻量、高效、可解释的执法视频智能分析算法体系，以应对视频冗余过滤、长上下文处理与跨时段事件关联等核心挑战。</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基于时序语义感知的轻量化关键帧预筛选算法：针对执法视频中无风险冗余片段（如人员行进、设备待机）占比高的问题，设计融合运动显著性检测与领域规则引导的动态抽帧策略。利用轻量级时序分类网络、MobileViT结合时序模块等方法对视频流进行实时语义判别，对平稳段实施稀疏采样，对动作突变区域（如设备启停、人员异常聚集）触发密集采样，在保留关键事件上下文完整性的同时，将输入序列压缩90%以上，为后续大模型推理提供高信息密度关键帧子集。</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（2）基于滑动窗口与KV Cache压缩的长上下文高效推理算法：为突破大模型处理长视频时的显存瓶颈，研究滑动窗口自适应调度与KV Cache动态压缩的协同优化机制。通过事件边界检测智能划分视频片段，避免关键动作截断；结合FP8量化、稀疏激活与层间缓存压缩技术，在保障推理质量的前提下显著降低显存占用，实现单卡32GB显存下20-60分钟级视频的端到端高效处理，推理速度提升3倍以上。</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基于时空图与因果推理的跨片段事件关联推演算法：针对分散违规事件难以关联识别的问题，构建融合时空图神经网络与因果推断机制的关联分析模型。以预筛选关键帧为节点，注入时间位置嵌入与语义特征，通过图注意力机制建模事件时空依赖，并借鉴Granger因果思想挖掘延迟性违规传导路径，最终输出带置信度的可视化因果链报告（如“未佩戴防护装备→违规操作→设备报警”），为风险溯源提供可解释依据。</w:t>
      </w:r>
    </w:p>
    <w:p>
      <w:pPr>
        <w:pStyle w:val="3"/>
        <w:pageBreakBefore w:val="0"/>
        <w:kinsoku/>
        <w:wordWrap/>
        <w:overflowPunct/>
        <w:topLinePunct w:val="0"/>
        <w:autoSpaceDE/>
        <w:autoSpaceDN/>
        <w:bidi w:val="0"/>
        <w:adjustRightInd/>
        <w:snapToGrid/>
        <w:spacing w:line="558" w:lineRule="exact"/>
        <w:ind w:firstLine="643"/>
        <w:textAlignment w:val="auto"/>
        <w:rPr>
          <w:rFonts w:ascii="仿宋_GB2312"/>
          <w:highlight w:val="none"/>
        </w:rPr>
      </w:pPr>
      <w:r>
        <w:rPr>
          <w:rFonts w:hint="eastAsia" w:ascii="仿宋_GB2312"/>
          <w:highlight w:val="none"/>
        </w:rPr>
        <w:t>2、基于“端侧实时感知+云端深度认知”的大小模型级联协同算法研究</w:t>
      </w:r>
    </w:p>
    <w:p>
      <w:pPr>
        <w:pageBreakBefore w:val="0"/>
        <w:kinsoku/>
        <w:wordWrap/>
        <w:overflowPunct/>
        <w:topLinePunct w:val="0"/>
        <w:autoSpaceDE/>
        <w:autoSpaceDN/>
        <w:bidi w:val="0"/>
        <w:adjustRightInd/>
        <w:snapToGrid/>
        <w:spacing w:line="558" w:lineRule="exact"/>
        <w:ind w:firstLine="643" w:firstLineChars="200"/>
        <w:textAlignment w:val="auto"/>
        <w:rPr>
          <w:rFonts w:ascii="仿宋_GB2312" w:eastAsia="仿宋_GB2312"/>
          <w:sz w:val="32"/>
          <w:szCs w:val="32"/>
          <w:highlight w:val="none"/>
        </w:rPr>
      </w:pPr>
      <w:r>
        <w:rPr>
          <w:rFonts w:hint="eastAsia" w:ascii="仿宋_GB2312" w:eastAsia="仿宋_GB2312"/>
          <w:b/>
          <w:bCs/>
          <w:sz w:val="32"/>
          <w:szCs w:val="32"/>
          <w:highlight w:val="none"/>
        </w:rPr>
        <w:t>研究内容：</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本研究旨在突破大规模视频监控中资源约束与分析精度难以兼顾的瓶颈，研发动态路由决策、知识持续进化与架构弹性适配等核心算法，以应对高并发视频流处理中的成本、延迟与泛化能力挑战。</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（1）“目标检测小模型+ 多模态大模型”两级级联架构设计：针对传统单点部署模式资源利用率低、响应链路长的问题，由轻量级目标检测模型，实现视频流的毫秒级初筛与常规事件判定；仅将高置信度预警片段及场景内容上传至大模型，由多模态大模型进行细粒度语义理解与违规逻辑推理。</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基于多维度风险感知的动态路由决策算法：针对固定路由策略无法适应场景动态变化的局限，本研究研发融合实时场景复杂度评估（如人员密度、物品多样性）、目标检测小模型置信度反馈与业务风险等级的智能路由机制。设计轻量化场景分析模块动态生成路由权重，自适应选择不同协作处理路径，确保高风险事件优先获得深度分析资源，实现计算资源的按需分配与全局效能优化。</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面向目标检测小模型持续进化的定向知识蒸馏机制：为解决小模型在复杂、边缘场景下能力固化的问题设计闭环知识迁移方案。利用多模态大模型对疑难样本的深度分析结果生成软标签与关键特征注意力图，结合学习策略对目标检测小模型进行渐进式蒸馏训练，使其持续吸收云端对非标准违规、隐蔽行为等复杂模式的认知能力，逐步提升模型在真实业务环境中的鲁棒性与泛化水平。</w:t>
      </w:r>
    </w:p>
    <w:p>
      <w:pPr>
        <w:pStyle w:val="3"/>
        <w:pageBreakBefore w:val="0"/>
        <w:kinsoku/>
        <w:wordWrap/>
        <w:overflowPunct/>
        <w:topLinePunct w:val="0"/>
        <w:autoSpaceDE/>
        <w:autoSpaceDN/>
        <w:bidi w:val="0"/>
        <w:adjustRightInd/>
        <w:snapToGrid/>
        <w:spacing w:line="558" w:lineRule="exact"/>
        <w:ind w:firstLine="643"/>
        <w:textAlignment w:val="auto"/>
        <w:rPr>
          <w:rFonts w:hint="eastAsia" w:ascii="仿宋_GB2312"/>
          <w:highlight w:val="none"/>
        </w:rPr>
      </w:pPr>
      <w:r>
        <w:rPr>
          <w:rFonts w:hint="eastAsia" w:ascii="仿宋_GB2312"/>
          <w:highlight w:val="none"/>
        </w:rPr>
        <w:t>3、矿山安全场景小样本数据增强与自动化高质量标注体系构建</w:t>
      </w:r>
    </w:p>
    <w:p>
      <w:pPr>
        <w:pageBreakBefore w:val="0"/>
        <w:kinsoku/>
        <w:wordWrap/>
        <w:overflowPunct/>
        <w:topLinePunct w:val="0"/>
        <w:autoSpaceDE/>
        <w:autoSpaceDN/>
        <w:bidi w:val="0"/>
        <w:adjustRightInd/>
        <w:snapToGrid/>
        <w:spacing w:line="558" w:lineRule="exact"/>
        <w:textAlignment w:val="auto"/>
        <w:rPr>
          <w:rFonts w:ascii="仿宋_GB2312" w:eastAsia="仿宋_GB2312"/>
          <w:sz w:val="32"/>
          <w:szCs w:val="32"/>
          <w:highlight w:val="none"/>
        </w:rPr>
      </w:pPr>
      <w:r>
        <w:rPr>
          <w:rFonts w:hint="eastAsia" w:ascii="仿宋_GB2312" w:eastAsia="仿宋_GB2312"/>
          <w:b/>
          <w:bCs/>
          <w:sz w:val="32"/>
          <w:szCs w:val="32"/>
          <w:highlight w:val="none"/>
        </w:rPr>
        <w:t>研究内容：</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高质量训练数据是驱动AI模型精准识别违规行为、实现风险智能预警的核心基石。当前，矿山安全视频分析中真实违规样本稀缺且采集风险高，人工标注高度依赖领域专家且存在标准不一、跨模态语义一致性弱，复杂环境下生成样本失真严重，难以支撑模型鲁棒训练。本研究旨在构建面向矿山安全场景的小样本数据增强与自动化高质量标注体系，突破AI赋能矿山安全“数据瓶颈”。</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基于扩散模型的矿山违规场景可控生成技术：针对真实违规样本稀缺且高危场景难以采集的问题，利用扩散模型的高保真生成能力，结合ControlNet等模型对关键违规特征（如未佩戴自救器、安全出口堵塞、设备联锁失效等）进行结构与语义双重约束，精准模拟井下弱光、粉尘弥漫、多视角遮挡等典型环境。通过注入矿山安全规程知识（参考《金属非金属矿山重大事故隐患判定标准》等规范），生成符合行业规范的合成样本，有效扩充长尾违规场景数据集，为小样本学习提供高质量训练资源。</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大模型初筛+专家校验+主动学习”的闭环智能标注工具链：针对人工标注周期长、一致性差的痛点，构建人机协同标注新范式：依托Qwen-VL等矿山领域大模型对视频关键帧进行初筛预标注；设计不确定性量化模块，智能筛选置信度低的样本交由安全专家校验；引入主动学习策略动态选择信息增益最大的样本优先标注，形成“生成−标注−训练−优化”迭代闭环。</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3）多维度矿山视频数据质量评估指标体系：为保障生成数据与标注结果的工程可靠性，需设计覆盖视频质量（清晰度、光照均匀性）、场景语义（违规行为逻辑合理性）、安全特征（关键部件可见性、隐患显著性）、标注质量（边界框精度、类别一致性）、环境适应性（粉尘/弱光鲁棒性）等5个维度的量化评估体系。</w:t>
      </w:r>
    </w:p>
    <w:p>
      <w:pPr>
        <w:pStyle w:val="3"/>
        <w:pageBreakBefore w:val="0"/>
        <w:kinsoku/>
        <w:wordWrap/>
        <w:overflowPunct/>
        <w:topLinePunct w:val="0"/>
        <w:autoSpaceDE/>
        <w:autoSpaceDN/>
        <w:bidi w:val="0"/>
        <w:adjustRightInd/>
        <w:snapToGrid/>
        <w:spacing w:line="558" w:lineRule="exact"/>
        <w:ind w:firstLine="643"/>
        <w:textAlignment w:val="auto"/>
        <w:rPr>
          <w:rFonts w:hint="eastAsia" w:ascii="仿宋_GB2312"/>
          <w:highlight w:val="none"/>
        </w:rPr>
      </w:pPr>
      <w:r>
        <w:rPr>
          <w:rFonts w:hint="eastAsia" w:ascii="仿宋_GB2312"/>
          <w:highlight w:val="none"/>
        </w:rPr>
        <w:t>4、基于GRPO的矿山专用大模型高效微调与安全对齐技术研究</w:t>
      </w:r>
    </w:p>
    <w:p>
      <w:pPr>
        <w:pageBreakBefore w:val="0"/>
        <w:kinsoku/>
        <w:wordWrap/>
        <w:overflowPunct/>
        <w:topLinePunct w:val="0"/>
        <w:autoSpaceDE/>
        <w:autoSpaceDN/>
        <w:bidi w:val="0"/>
        <w:adjustRightInd/>
        <w:snapToGrid/>
        <w:spacing w:line="558" w:lineRule="exact"/>
        <w:textAlignment w:val="auto"/>
        <w:rPr>
          <w:rFonts w:ascii="仿宋_GB2312" w:eastAsia="仿宋_GB2312"/>
          <w:sz w:val="32"/>
          <w:szCs w:val="32"/>
          <w:highlight w:val="none"/>
        </w:rPr>
      </w:pPr>
      <w:r>
        <w:rPr>
          <w:rFonts w:hint="eastAsia" w:ascii="仿宋_GB2312" w:eastAsia="仿宋_GB2312"/>
          <w:b/>
          <w:bCs/>
          <w:sz w:val="32"/>
          <w:szCs w:val="32"/>
          <w:highlight w:val="none"/>
        </w:rPr>
        <w:t>研究内容：</w:t>
      </w:r>
      <w:r>
        <w:rPr>
          <w:rFonts w:hint="eastAsia" w:ascii="仿宋_GB2312" w:eastAsia="仿宋_GB2312"/>
          <w:sz w:val="32"/>
          <w:szCs w:val="32"/>
          <w:highlight w:val="none"/>
        </w:rPr>
        <w:t>本研究旨在破解矿山专用大模型在微调成本、领域幻觉抑制与执法合规性方面的核心瓶颈，构建一套适配国产硬件、融合专家知识、符合司法要求的高效微调与安全对齐技术体系。通过参数高效微调、GRPO对齐优化与法规知识注入的深度耦合，实现“低资源训练—高专业输出—强法规对齐”的全链路技术闭环。</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矿山场景参数高效微调技术适配与优化：针对全量微调资源门槛高、国产硬件适配难的问题，系统验证QLoRA、PiSSA等方法在矿山违规检测典型场景下的适用性。结合矿山视频与文本数据特性，定制梯度裁剪策略、动态学习率调度及领域词表扩展方案，实现7B参数模型在单卡32GB国产昇腾/海光GPU上的稳定微调，训练显存占用降低90%，为行业大模型自主可控研发提供轻量化技术路径。</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基于GRPO框架的矿山专属空间-语义对齐优化算法：借鉴DeepSeek-R1中GRPO的分组相对优化思想，设计融合空间位置约束（如设备相对坐标、人员活动区域）与安全语义判别（如违规行为后果关联性）的矿山专属奖励函数。构建“违规行为-空间位置-安全后果”三维评价体系，对模型生成的多候选回答进行组内相对排序（如将“未系安全带→高处坠落风险”逻辑链作为正样本），引导模型学习符合矿山安全逻辑的推理路径，从源头抑制虚构内容生成。</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执法规范驱动的专家反馈闭环对齐机制：为确保模型输出严格契合法规要求，构建“专家标注-偏好学习-迭代优化”闭环流程。联合矿山领域安全专家，依据《金属非金属矿山重大事故隐患判定标准》等文件，对模型输出进行合规性标注，生成高质量偏好数据集（优选回答/劣选回答对）；结合GRPO算法进行多轮对齐训练，并引入RAG增强检索，使模型在法规条款引用准确性、风险判定逻辑严谨性、处置建议规范性等维度达到执法取证标准，输出内容可直接用于辅助生成执法文书与证据链。</w:t>
      </w:r>
    </w:p>
    <w:p>
      <w:pPr>
        <w:pStyle w:val="2"/>
        <w:pageBreakBefore w:val="0"/>
        <w:kinsoku/>
        <w:wordWrap/>
        <w:overflowPunct/>
        <w:topLinePunct w:val="0"/>
        <w:autoSpaceDE/>
        <w:autoSpaceDN/>
        <w:bidi w:val="0"/>
        <w:adjustRightInd/>
        <w:snapToGrid/>
        <w:spacing w:line="558" w:lineRule="exact"/>
        <w:ind w:firstLine="643"/>
        <w:textAlignment w:val="auto"/>
        <w:rPr>
          <w:rFonts w:hint="eastAsia" w:ascii="黑体" w:hAnsi="黑体" w:eastAsia="黑体"/>
          <w:szCs w:val="32"/>
          <w:highlight w:val="none"/>
        </w:rPr>
      </w:pPr>
      <w:bookmarkStart w:id="2" w:name="_Toc226029493"/>
      <w:r>
        <w:rPr>
          <w:rFonts w:hint="eastAsia" w:ascii="黑体" w:hAnsi="黑体" w:eastAsia="黑体"/>
          <w:szCs w:val="32"/>
          <w:highlight w:val="none"/>
        </w:rPr>
        <w:t>专题二：数据测评体系专项</w:t>
      </w:r>
      <w:bookmarkEnd w:id="2"/>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随着人工智能（AI）和数据科学深入企业核心业务，数据、模型及相关治理流程的质量已成为决定AI项目成败、乃至企业竞争力的关键基石。单纯依赖人工进行质量检测不仅效率低下、成本高昂，且难以适应现代数据生态的规模与复杂性。本专题旨在开发一个包含三大核心工具模块的一体化平台，全面覆盖数据集质量、数据治理质量和模型质量的资质测评，构建一个一体化、自动化、贯穿数据到AI生命周期的质量评估生态系统。</w:t>
      </w:r>
    </w:p>
    <w:p>
      <w:pPr>
        <w:pStyle w:val="3"/>
        <w:pageBreakBefore w:val="0"/>
        <w:kinsoku/>
        <w:wordWrap/>
        <w:overflowPunct/>
        <w:topLinePunct w:val="0"/>
        <w:autoSpaceDE/>
        <w:autoSpaceDN/>
        <w:bidi w:val="0"/>
        <w:adjustRightInd/>
        <w:snapToGrid/>
        <w:spacing w:line="558" w:lineRule="exact"/>
        <w:ind w:firstLine="643"/>
        <w:textAlignment w:val="auto"/>
        <w:rPr>
          <w:rFonts w:hint="eastAsia" w:ascii="仿宋_GB2312"/>
          <w:highlight w:val="none"/>
        </w:rPr>
      </w:pPr>
      <w:r>
        <w:rPr>
          <w:rFonts w:hint="eastAsia" w:ascii="仿宋_GB2312"/>
          <w:highlight w:val="none"/>
        </w:rPr>
        <w:t>1、数据集质量测评系统</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数据集质量测评系统旨在构建一套自动化、智能化、可扩展的数据集质量测评平台，实现对多源数据的标准化质量度量、持续监控，支撑高可靠AI建模与分析业务。核心功能需求：</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智能数据剖析与元数据管理：支持接入主流数据源（SQL/NoSQL/文件/数据湖），自动生成数据画像（统计特征、空值率、分布等）。自动注册并更新至中央元数据知识库，支持数据血缘关联。</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可配置化质量规则引擎：内置完整性、唯一性等六大维度标准规则库。提供GUI/SQL/SDK三种方式自定义规则，支持规则版本管理与复用。</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自动化调度与分布式评估：支持定时、事件触发及手动执行；具备TB级数据分布式处理能力。可与ETL/CI/CD流程无缝集成。</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可视化质量监控与报告：提供健康度总览、趋势下钻、问题数据定位看板，支持多格式报告导出。</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质量问题闭环治理：自动生成质量问题工单并指派，支持数据隔离与标记，集成修复验证与回归测试流程。</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AI增强质量评估：集成大语言模型（LLM），实现文本类数据的语义清晰度、逻辑一致性智能评价。</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动态自适应质量监控：基于机器学习模型，自动学习数据特征与历史问题，实现质量阈值动态调整与异常预警优化。</w:t>
      </w:r>
    </w:p>
    <w:p>
      <w:pPr>
        <w:pStyle w:val="3"/>
        <w:pageBreakBefore w:val="0"/>
        <w:kinsoku/>
        <w:wordWrap/>
        <w:overflowPunct/>
        <w:topLinePunct w:val="0"/>
        <w:autoSpaceDE/>
        <w:autoSpaceDN/>
        <w:bidi w:val="0"/>
        <w:adjustRightInd/>
        <w:snapToGrid/>
        <w:spacing w:line="558" w:lineRule="exact"/>
        <w:ind w:firstLine="643"/>
        <w:textAlignment w:val="auto"/>
        <w:rPr>
          <w:rFonts w:hint="eastAsia" w:ascii="仿宋_GB2312"/>
          <w:highlight w:val="none"/>
        </w:rPr>
      </w:pPr>
      <w:r>
        <w:rPr>
          <w:rFonts w:hint="eastAsia" w:ascii="仿宋_GB2312"/>
          <w:highlight w:val="none"/>
        </w:rPr>
        <w:t>2、数据治理质量测评系统</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数据治理质量测评系统旨在评估组织数据治理活动的成效，建立涵盖数据质量、数据安全合规、数据利用效率、业务价值贡献等维度的综合评估指标体系。基于成熟的治理框架。集成自动化工具，定期执行数据质量检查、策略合规性审计，并生成持续监控仪表盘与效果反馈报告。核心功能需求：</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多源无侵入式证据采集：通过只读API、日志分析、文档扫描等方式，自动化收集来自元数据、数据平台、工单系统、代码仓库的治理过程证据。</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治理成熟度量化评估：内置标准框架（如DAMA），将证据映射到多级成熟度模型，自动计算各领域（质量、安全、元数据等）得分与差距分析。</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安全合规审计：分析数据访问日志与敏感数据目录，自动识别权限异常、违规访问模式。</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生命周期合规检查：对比策略与数据存储状态，识别过期数据。</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行业服务合规评估：内置行业法规映射引擎，验证关键治理环节（如数据血缘、访问审计、合规标记）的完整性，针对不同行业（如金融、医疗、制造业、互联网等）的特定合规要求，自动化识别并评估行业专属治理规范的执行情况。</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AI辅助价值评估：结合数据使用热度、血缘影响力、质量得分，通过算法模型评估核心数据资产的相对价值与风险等级。</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智能合同验证：解析机器可读的“数据合同”，自动验证数据产品在Schema、SLA等方面的履约情况，并出具合规报告。</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b/>
          <w:bCs/>
          <w:sz w:val="32"/>
          <w:szCs w:val="32"/>
          <w:highlight w:val="none"/>
        </w:rPr>
      </w:pPr>
      <w:r>
        <w:rPr>
          <w:rFonts w:hint="eastAsia" w:ascii="仿宋_GB2312" w:eastAsia="仿宋_GB2312"/>
          <w:sz w:val="32"/>
          <w:szCs w:val="32"/>
          <w:highlight w:val="none"/>
        </w:rPr>
        <w:t>治理效能诊断报告：生成权威评估报告，展示成熟度雷达图、效能瓶颈、改进建议及行业基准对比。</w:t>
      </w:r>
    </w:p>
    <w:p>
      <w:pPr>
        <w:pStyle w:val="3"/>
        <w:pageBreakBefore w:val="0"/>
        <w:kinsoku/>
        <w:wordWrap/>
        <w:overflowPunct/>
        <w:topLinePunct w:val="0"/>
        <w:autoSpaceDE/>
        <w:autoSpaceDN/>
        <w:bidi w:val="0"/>
        <w:adjustRightInd/>
        <w:snapToGrid/>
        <w:spacing w:line="558" w:lineRule="exact"/>
        <w:ind w:firstLine="643"/>
        <w:textAlignment w:val="auto"/>
        <w:rPr>
          <w:rFonts w:hint="eastAsia" w:ascii="仿宋_GB2312"/>
          <w:highlight w:val="none"/>
        </w:rPr>
      </w:pPr>
      <w:r>
        <w:rPr>
          <w:rFonts w:hint="eastAsia" w:ascii="仿宋_GB2312"/>
          <w:highlight w:val="none"/>
        </w:rPr>
        <w:t>3、模型质量测评系统</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模型质量测评系统旨在开发一个专注于评估深度学习/大模型在生产环境中推理质量的自动化测评平台，确保模型性能、公平性与可靠性。核心功能需求：</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自动化基准测试集执行：支持一键化运行标准学术/行业基准测试（如GLUE, MMLU for LLM），并管理自定义测试集。</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bookmarkStart w:id="3" w:name="OLE_LINK1"/>
      <w:r>
        <w:rPr>
          <w:rFonts w:hint="eastAsia" w:ascii="仿宋_GB2312" w:eastAsia="仿宋_GB2312"/>
          <w:sz w:val="32"/>
          <w:szCs w:val="32"/>
          <w:highlight w:val="none"/>
        </w:rPr>
        <w:t>数据行业服务能力评估：提供任务场景驱动的数据质量多维评测，内置数据服务性能指标，支持行业专家标准节点式接入。</w:t>
      </w:r>
      <w:bookmarkEnd w:id="3"/>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多维性能监控与评估：传统指标，包括准确率、延迟、吞吐量、资源消耗等；拓展指标，包括对分布外数据、对抗性样本的鲁棒性，预测不确定性校准度等。</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大模型幻觉检测：集成检索增强评估与事实一致性核查模型，自动检测生成内容中的事实错误、无依据推断。</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逻辑与推理链评估：利用推理过程分解或思维链评估技术，判断模型推理的逻辑自洽性与步骤合理性。</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公平性与偏见扫描：自动检测模型在不同人口统计子群（如性别、地域）上的性能差异，识别潜在偏见。</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自动化“红队”测试：自动生成对抗性提示或测试用例，测试被测模型产生有害、偏见或错误输出情况，从而评估其安全性。</w:t>
      </w:r>
    </w:p>
    <w:p>
      <w:pPr>
        <w:pageBreakBefore w:val="0"/>
        <w:kinsoku/>
        <w:wordWrap/>
        <w:overflowPunct/>
        <w:topLinePunct w:val="0"/>
        <w:autoSpaceDE/>
        <w:autoSpaceDN/>
        <w:bidi w:val="0"/>
        <w:adjustRightInd/>
        <w:snapToGrid/>
        <w:spacing w:line="558"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综合质量报告：提供模型质量档案，包含性能、鲁棒性、公平性、安全性等多维度评分与可视化分析。</w:t>
      </w:r>
    </w:p>
    <w:p>
      <w:pPr>
        <w:pageBreakBefore w:val="0"/>
        <w:kinsoku/>
        <w:wordWrap/>
        <w:overflowPunct/>
        <w:topLinePunct w:val="0"/>
        <w:autoSpaceDE/>
        <w:autoSpaceDN/>
        <w:bidi w:val="0"/>
        <w:adjustRightInd/>
        <w:snapToGrid/>
        <w:spacing w:line="558" w:lineRule="exact"/>
        <w:ind w:firstLine="641"/>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4、数据治理平台</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平台以云原生、微服务为技术基础，以数据治理为核心，以充分挖掘数据价值为目标，实现数据的可知，可管，可控，可用。平台具备丰富的数据治理工具，能够极大地简化开发过程、缩短数据治理周期、降低数据治理成本，适用于政府、企业等各类不同的数据治理服务场景，包括数据存储、数据集成、数据治理、数据资产、数据开发、数据应用、数据服务等模块。</w:t>
      </w:r>
    </w:p>
    <w:p>
      <w:pPr>
        <w:pageBreakBefore w:val="0"/>
        <w:widowControl/>
        <w:kinsoku/>
        <w:wordWrap/>
        <w:overflowPunct/>
        <w:topLinePunct w:val="0"/>
        <w:autoSpaceDE/>
        <w:autoSpaceDN/>
        <w:bidi w:val="0"/>
        <w:adjustRightInd/>
        <w:snapToGrid/>
        <w:spacing w:line="558" w:lineRule="exact"/>
        <w:ind w:firstLine="643" w:firstLineChars="20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5、可信数据空间</w:t>
      </w:r>
    </w:p>
    <w:p>
      <w:pPr>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信数据空间是基于共识规则构建的数据流通基础设施，旨在实现多方主体间数据的安全共享、可控使用与价值释放。通过区块链存证、联邦学习、可信执行环境及同态加密等技术，确保数据“可用不可见”，支持原始数据不出域下的授权计算与跨域协同；建立数据主权保障机制、智能合约驱动的使用控制规则，以及全流程审计体系，解决数据跨境流动、敏感信息脱敏及多主体协同合规性挑战；面向工业制造、医疗、金融或智慧城市等领域，通过标准化协议降低中小企业应用门槛，推动数据要素市场化配置。</w:t>
      </w:r>
    </w:p>
    <w:p>
      <w:pPr>
        <w:pageBreakBefore w:val="0"/>
        <w:kinsoku/>
        <w:wordWrap/>
        <w:overflowPunct/>
        <w:topLinePunct w:val="0"/>
        <w:autoSpaceDE/>
        <w:autoSpaceDN/>
        <w:bidi w:val="0"/>
        <w:adjustRightInd/>
        <w:snapToGrid/>
        <w:spacing w:line="558" w:lineRule="exact"/>
        <w:ind w:firstLine="643" w:firstLineChars="200"/>
        <w:textAlignment w:val="auto"/>
        <w:rPr>
          <w:rFonts w:hint="eastAsia" w:ascii="黑体" w:hAnsi="黑体" w:eastAsia="黑体" w:cs="Times New Roman"/>
          <w:b/>
          <w:snapToGrid w:val="0"/>
          <w:kern w:val="0"/>
          <w:sz w:val="32"/>
          <w:szCs w:val="32"/>
          <w:highlight w:val="none"/>
          <w:lang w:val="en-US" w:eastAsia="zh-CN" w:bidi="ar-SA"/>
        </w:rPr>
      </w:pPr>
      <w:r>
        <w:rPr>
          <w:rFonts w:hint="eastAsia" w:ascii="黑体" w:hAnsi="黑体" w:eastAsia="黑体" w:cs="Times New Roman"/>
          <w:b/>
          <w:snapToGrid w:val="0"/>
          <w:kern w:val="0"/>
          <w:sz w:val="32"/>
          <w:szCs w:val="32"/>
          <w:highlight w:val="none"/>
          <w:lang w:val="en-US" w:eastAsia="zh-CN" w:bidi="ar-SA"/>
        </w:rPr>
        <w:t>专题三：数算模用一体化技术研究</w:t>
      </w:r>
    </w:p>
    <w:p>
      <w:pPr>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面向“数算模用”的异构算力池化与算网协同调度平台研究，研究如何通过云管平台统一管理CPU、GPU、NPU等包括国产算力在内的异构算力，确保模型在不同算力底座上的无缝迁移和最优能效比。本专题以自主研发的“太行大模型管理平台”为核心底座，旨在攻克异构算力池化、数据湖仓联动、MLOps全生命周期管理及全栈安全合规等关键技术。通过进一步夯实太行平台的底层异构算力调度能力，打通数据到AI应用的高效通道，解决大模型在政务、司法、工业等场景下私有部署与高质量运行的综合工程难题。</w:t>
      </w:r>
    </w:p>
    <w:p>
      <w:pPr>
        <w:pageBreakBefore w:val="0"/>
        <w:kinsoku/>
        <w:wordWrap/>
        <w:overflowPunct/>
        <w:topLinePunct w:val="0"/>
        <w:autoSpaceDE/>
        <w:autoSpaceDN/>
        <w:bidi w:val="0"/>
        <w:adjustRightInd/>
        <w:snapToGrid/>
        <w:spacing w:line="558" w:lineRule="exact"/>
        <w:ind w:firstLine="641"/>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1、基于太行底座的异构算力池化与算网协同调度平台研究</w:t>
      </w:r>
    </w:p>
    <w:p>
      <w:pPr>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当前智算环境中算力资源碎片化与兼容性差的痛点，依托太行大模型管理平台已有的底层算力管理能力，进一步研究如何跨云、跨集群统一调度多源异构算力。重点攻关算力切分、硬件级虚拟化及自适应软件融合技术，深化对海光DCU、鲲鹏920、昇腾等国产算力架构的底层适配，彻底屏蔽异构硬件差异。</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（1）面向国产异构硬件的自适应抽象与融合技术：针对海光、昇腾等国产异构计算芯片指令集与底层通信协议的差异，构建统一的算力抽象层，实现算力资源的标准化纳管，打破不同型号GPU/NPU之间的物理孤岛。</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细粒度算力虚拟化与动态切分机制：研究基于vGPU和多实例GPU（MIG）等技术的底层虚拟化策略，支持将单张大显存计算卡（如32GB/64GB）切分为多个相互隔离的算力单元。保障并发推理任务和轻量级微调任务在同一物理节点上高效混合部署，避免算力资源闲置，提升平台整体算力利用率。</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eastAsia="仿宋_GB2312"/>
          <w:sz w:val="32"/>
          <w:szCs w:val="32"/>
          <w:highlight w:val="none"/>
        </w:rPr>
        <w:t>（3）拓扑感知的算网协同与智能调度算法：研发融合网络拓扑结构的分布式智能调度引擎。在多节点集群环境下，根据大模型训练的张量并行（TP）与流水线并行（PP）需求，结合节点间网络带宽（如InfiniBand/RoCE）进行亲和性调度，确保大语言模型在不同集群间的无缝迁移与最优能效比。</w:t>
      </w:r>
    </w:p>
    <w:p>
      <w:pPr>
        <w:pageBreakBefore w:val="0"/>
        <w:kinsoku/>
        <w:wordWrap/>
        <w:overflowPunct/>
        <w:topLinePunct w:val="0"/>
        <w:autoSpaceDE/>
        <w:autoSpaceDN/>
        <w:bidi w:val="0"/>
        <w:adjustRightInd/>
        <w:snapToGrid/>
        <w:spacing w:line="558" w:lineRule="exact"/>
        <w:ind w:firstLine="641"/>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2、面向太行平台的高性能数据湖仓与训练加速联动机制研究</w:t>
      </w:r>
    </w:p>
    <w:p>
      <w:pPr>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提升“数”到“模”的转化效率，打破数据存储与计算节点间的物理壁垒。重点研究云原生环境下的存算分离高级架构，以及专为太行大模型分布式训练优化的高速缓存预热与多级缓存机制，支撑垂直领域高质量私有数据的安全、高效制备。</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云原生架构下的存算分离与数据高速流转管道：构建计算与存储解耦的基础架构，使对象存储/分布式文件系统与GPU计算节点独立扩展。研发高吞吐量的数据智能管道，使海量多模态数据（如政务长文本、司法卷宗、矿山长视频）在湖仓存储层与太行计算节点间实现微秒级流转，减少模型训练和推理的I/O等待。</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面向大模型训练的多级智能缓存与预热技术：针对大规模语料预训练与全量微调中的数据瓶颈，设计基于内存与本地NVMeSSD协同的分布式多级Cache架构。引入基于数据访问热度的智能预测算法，实现训练批次（Batch）数据的精准提前预热加载，大幅降低跨节点数据拉取的延迟。</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eastAsia="仿宋_GB2312"/>
          <w:sz w:val="32"/>
          <w:szCs w:val="32"/>
          <w:highlight w:val="none"/>
        </w:rPr>
        <w:t>（3）支撑RAG流水线的向量与图数据高效协同：面向检索增强生成（RAG）应用场景，研究湖仓架构对高维向量库与图数据库的融合支持。优化向量索引构建与图节点查询的并行处理效率，为太行平台的智能问答、知识图谱推演提供毫秒级的数据召回支撑。</w:t>
      </w:r>
    </w:p>
    <w:p>
      <w:pPr>
        <w:pageBreakBefore w:val="0"/>
        <w:kinsoku/>
        <w:wordWrap/>
        <w:overflowPunct/>
        <w:topLinePunct w:val="0"/>
        <w:autoSpaceDE/>
        <w:autoSpaceDN/>
        <w:bidi w:val="0"/>
        <w:adjustRightInd/>
        <w:snapToGrid/>
        <w:spacing w:line="558" w:lineRule="exact"/>
        <w:ind w:firstLine="641"/>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3、场景驱动的平台资源弹性伸缩与确定性服务保障研究</w:t>
      </w:r>
    </w:p>
    <w:p>
      <w:pPr>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强化“用”的稳定性和智能化水平，本研究聚焦高并发、高可用场景下的智算资源动态伸缩能力。深入研究基于AI预测的应用流量识别与算力资源预扩容算法，为高优任务提供严格的确定性保障与QoS（服务质量）优化。</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基于时序AI的业务流量感知与智能预测：针对政务服务、智慧城市等应用中突发性流量特征，构建融合深度时序网络（如LSTM/Transformer）的请求量预测模型。实时分析API网关日志，提前感知流量高峰，为太行平台的资源调度引擎提供精准的前置决策依据。</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毫秒级弹性扩缩容与无缝热迁移机制：研究基于容器技术的模型推理实例快速冷启动优化与显存热复用技术。实现在业务流量突增时，秒级调动算力并加载对应的模型镜像，确保业务不中断。同时，在节点故障或负载过高时，实现推理任务的跨节点无感知热迁移。</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eastAsia="仿宋_GB2312"/>
          <w:sz w:val="32"/>
          <w:szCs w:val="32"/>
          <w:highlight w:val="none"/>
        </w:rPr>
        <w:t>（3）多优先级业务隔离与确定性降级策略：建立基于SLA（服务等级协议）的多租户/多任务优先级调度模型。在算力资源极度受限的极端情况下，通过自动识别核心业务与非核心业务，采取非核心业务排队、模型量化降级或切换轻量级备用模型等柔性降级策略，死守核心关键业务的低延迟与高可用底线。</w:t>
      </w:r>
    </w:p>
    <w:p>
      <w:pPr>
        <w:pageBreakBefore w:val="0"/>
        <w:kinsoku/>
        <w:wordWrap/>
        <w:overflowPunct/>
        <w:topLinePunct w:val="0"/>
        <w:autoSpaceDE/>
        <w:autoSpaceDN/>
        <w:bidi w:val="0"/>
        <w:adjustRightInd/>
        <w:snapToGrid/>
        <w:spacing w:line="558" w:lineRule="exact"/>
        <w:ind w:firstLine="641"/>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4、基于K8s云原生的太行平台多租户架构与全栈安全沙箱技术研究</w:t>
      </w:r>
    </w:p>
    <w:p>
      <w:pPr>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太行大模型管理平台在政府、公检法及大型国企等核心领域私有化部署的复杂需求，研究基于云原生架构的多租户资源编排与全栈安全防护体系。重点攻克在多租户共享底层算力和模型服务时，如何通过K8s实现环境的彻底隔离，并防止数据泄露和模型反向工程攻击，提升平台底层的安全信任与交付能力。</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基于K8s的原生多租户隔离与独立工作空间构建：深度融合Kubernetes(K8s)底层编排能力，研究面向政务云多委办局场景的Namespace级逻辑隔离与虚拟集群（vCluster）技术。为每个租户分配完全独立的运行环境（Workspace），实现模型微调任务、推理实例（Pods）、RAG知识库以及平台功能调用的租户级隔离。结合自定义网络策略（NetworkPolicy）与资源配额（ResourceQuota），实现租户专属的API网关独立入口与异构算力上限的硬性管控，确保各租户业务高并发时互不干扰。</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多租户硬件级与OS级双重隔离沙箱：结合国产操作系统的安全特性，在K8s集群的Pod层面综合利用可信执行环境（TEE）、轻量级安全容器（如KataContainers）技术，为不同租户构建严格的物理与逻辑隔离沙箱，阻断越权访问与侧信道攻击，保障多租户共享底层异构算力（如同一张GPU上的不同MIG实例）时的绝对隔离。</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面向高密数据的隐私计算与加密推理机制：针对司法卷宗、医疗档案等极度敏感数据，研究基于联邦学习与安全多方计算的数据不出域联合训练框架。探索大模型同态加密推理技术，确保原始数据在传输、计算与存储全过程中的“可用不可见”，满足严苛的数据合规要求。</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全生命周期防反向工程与细粒度合规审计：强化多租户架构下的API网关鉴权拦截机制，研究针对模型探测与反向工程攻击（如模型萃取、成员推理攻击）的动态防御算法。建立覆盖“数据摄入-模型微调-平台发布-推理调用”全链路的区块链存证与不可篡改审计日志系统，实现每一次AI决策的跨租户溯源追责。</w:t>
      </w:r>
    </w:p>
    <w:p>
      <w:pPr>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大模型资产化与K8s云原生一键部署管理：建立统一的模型版本控制与元数据注册中心，对模型的评估指标、环境依赖进行标准化封装。提供模型量化（如INT8/INT4）、剪枝工具链，结合HelmChart等云原生打包规范，支持将优化后的模型一键发布为标准API服务并自动调度至K8s对应租户的独立Namespace中，实现模型在太行平台上的资产化与安全隔离订阅。</w:t>
      </w:r>
    </w:p>
    <w:p>
      <w:pPr>
        <w:spacing w:line="360" w:lineRule="auto"/>
        <w:rPr>
          <w:rFonts w:hint="eastAsia" w:ascii="仿宋_GB2312" w:eastAsia="仿宋_GB2312"/>
          <w:bCs/>
          <w:spacing w:val="-4"/>
          <w:sz w:val="32"/>
          <w:szCs w:val="32"/>
          <w:highlight w:val="none"/>
        </w:rPr>
      </w:pPr>
    </w:p>
    <w:p>
      <w:pPr>
        <w:rPr>
          <w:highlight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8E51FD6"/>
    <w:rsid w:val="014D44D8"/>
    <w:rsid w:val="04837FF1"/>
    <w:rsid w:val="063F1769"/>
    <w:rsid w:val="07D56F12"/>
    <w:rsid w:val="08E51FD6"/>
    <w:rsid w:val="0D2C221D"/>
    <w:rsid w:val="0D872A5B"/>
    <w:rsid w:val="103A7CDC"/>
    <w:rsid w:val="1D9963AD"/>
    <w:rsid w:val="1FFD23EC"/>
    <w:rsid w:val="27A71D9A"/>
    <w:rsid w:val="2D507F45"/>
    <w:rsid w:val="2EDE77E1"/>
    <w:rsid w:val="35DA4A9B"/>
    <w:rsid w:val="3B914B26"/>
    <w:rsid w:val="3FDB2BF3"/>
    <w:rsid w:val="40AF0C42"/>
    <w:rsid w:val="45504B0D"/>
    <w:rsid w:val="4C3E72E4"/>
    <w:rsid w:val="4D2527C6"/>
    <w:rsid w:val="4E68721E"/>
    <w:rsid w:val="50396763"/>
    <w:rsid w:val="668A52FA"/>
    <w:rsid w:val="6A3D48BD"/>
    <w:rsid w:val="6A5E3050"/>
    <w:rsid w:val="6AEA1A38"/>
    <w:rsid w:val="71CE7493"/>
    <w:rsid w:val="79955688"/>
    <w:rsid w:val="7C37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autoRedefine/>
    <w:qFormat/>
    <w:uiPriority w:val="9"/>
    <w:pPr>
      <w:keepNext/>
      <w:keepLines/>
      <w:bidi w:val="0"/>
      <w:spacing w:beforeLines="0" w:beforeAutospacing="0" w:afterLines="0" w:afterAutospacing="0" w:line="240" w:lineRule="auto"/>
      <w:ind w:firstLine="883" w:firstLineChars="200"/>
      <w:jc w:val="both"/>
      <w:outlineLvl w:val="1"/>
    </w:pPr>
    <w:rPr>
      <w:rFonts w:ascii="Arial" w:hAnsi="Arial" w:eastAsia="华文楷体"/>
      <w:b/>
      <w:snapToGrid w:val="0"/>
      <w:kern w:val="0"/>
      <w:sz w:val="32"/>
    </w:rPr>
  </w:style>
  <w:style w:type="paragraph" w:styleId="3">
    <w:name w:val="heading 3"/>
    <w:basedOn w:val="1"/>
    <w:next w:val="1"/>
    <w:autoRedefine/>
    <w:qFormat/>
    <w:uiPriority w:val="9"/>
    <w:pPr>
      <w:keepNext/>
      <w:keepLines/>
      <w:spacing w:beforeLines="0" w:beforeAutospacing="0" w:afterLines="0" w:afterAutospacing="0" w:line="360" w:lineRule="auto"/>
      <w:ind w:firstLine="883" w:firstLineChars="200"/>
      <w:jc w:val="left"/>
      <w:outlineLvl w:val="2"/>
    </w:pPr>
    <w:rPr>
      <w:rFonts w:ascii="Times New Roman" w:hAnsi="Times New Roman" w:eastAsia="仿宋_GB2312"/>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2026-04-03T07:41:00Z</dcterms:created>
  <dc:creator>曹凯玥</dc:creator>
  <cp:lastModifiedBy>曹凯玥</cp:lastModifiedBy>
  <dcterms:modified xsi:type="dcterms:W3CDTF">2026-04-17T07:39:18Z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50FB75A857DB4695850989BFAE61066E_11</vt:lpwstr>
  </property>
</Properties>
</file>